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103A" w14:textId="0E4AD977" w:rsidR="00D34073" w:rsidRDefault="00D34073" w:rsidP="00D34073">
      <w:pPr>
        <w:widowControl w:val="0"/>
        <w:jc w:val="center"/>
        <w:rPr>
          <w:b/>
        </w:rPr>
      </w:pPr>
      <w:r>
        <w:rPr>
          <w:b/>
        </w:rPr>
        <w:t>Core Competencies #4</w:t>
      </w:r>
      <w:r>
        <w:rPr>
          <w:b/>
        </w:rPr>
        <w:br/>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320"/>
      </w:tblGrid>
      <w:tr w:rsidR="00D34073" w14:paraId="0FE1BC48" w14:textId="77777777" w:rsidTr="00696B1C">
        <w:tc>
          <w:tcPr>
            <w:tcW w:w="1800" w:type="dxa"/>
            <w:shd w:val="clear" w:color="auto" w:fill="auto"/>
            <w:tcMar>
              <w:top w:w="100" w:type="dxa"/>
              <w:left w:w="100" w:type="dxa"/>
              <w:bottom w:w="100" w:type="dxa"/>
              <w:right w:w="100" w:type="dxa"/>
            </w:tcMar>
          </w:tcPr>
          <w:p w14:paraId="3C562CAE" w14:textId="77777777" w:rsidR="00D34073" w:rsidRDefault="00D34073" w:rsidP="00696B1C">
            <w:pPr>
              <w:widowControl w:val="0"/>
            </w:pPr>
            <w:r>
              <w:t>Topic</w:t>
            </w:r>
          </w:p>
        </w:tc>
        <w:tc>
          <w:tcPr>
            <w:tcW w:w="7320" w:type="dxa"/>
            <w:shd w:val="clear" w:color="auto" w:fill="auto"/>
            <w:tcMar>
              <w:top w:w="100" w:type="dxa"/>
              <w:left w:w="100" w:type="dxa"/>
              <w:bottom w:w="100" w:type="dxa"/>
              <w:right w:w="100" w:type="dxa"/>
            </w:tcMar>
          </w:tcPr>
          <w:p w14:paraId="50FCDE1C" w14:textId="77777777" w:rsidR="00D34073" w:rsidRDefault="00D34073" w:rsidP="00696B1C">
            <w:pPr>
              <w:widowControl w:val="0"/>
            </w:pPr>
            <w:r>
              <w:t xml:space="preserve">Being a Dance Critic </w:t>
            </w:r>
          </w:p>
        </w:tc>
      </w:tr>
      <w:tr w:rsidR="00D34073" w14:paraId="18F7F971" w14:textId="77777777" w:rsidTr="00696B1C">
        <w:tc>
          <w:tcPr>
            <w:tcW w:w="1800" w:type="dxa"/>
            <w:shd w:val="clear" w:color="auto" w:fill="auto"/>
            <w:tcMar>
              <w:top w:w="100" w:type="dxa"/>
              <w:left w:w="100" w:type="dxa"/>
              <w:bottom w:w="100" w:type="dxa"/>
              <w:right w:w="100" w:type="dxa"/>
            </w:tcMar>
          </w:tcPr>
          <w:p w14:paraId="6200BD0B" w14:textId="77777777" w:rsidR="00D34073" w:rsidRDefault="00D34073" w:rsidP="00696B1C">
            <w:pPr>
              <w:widowControl w:val="0"/>
            </w:pPr>
            <w:r>
              <w:t>Curricular Connection</w:t>
            </w:r>
          </w:p>
        </w:tc>
        <w:tc>
          <w:tcPr>
            <w:tcW w:w="7320" w:type="dxa"/>
            <w:shd w:val="clear" w:color="auto" w:fill="auto"/>
            <w:tcMar>
              <w:top w:w="100" w:type="dxa"/>
              <w:left w:w="100" w:type="dxa"/>
              <w:bottom w:w="100" w:type="dxa"/>
              <w:right w:w="100" w:type="dxa"/>
            </w:tcMar>
          </w:tcPr>
          <w:p w14:paraId="51613340" w14:textId="77777777" w:rsidR="00D34073" w:rsidRDefault="00D34073" w:rsidP="00696B1C">
            <w:pPr>
              <w:widowControl w:val="0"/>
            </w:pPr>
            <w:r>
              <w:t>Critical Thinking: Analyze and Critique</w:t>
            </w:r>
          </w:p>
        </w:tc>
      </w:tr>
      <w:tr w:rsidR="00D34073" w14:paraId="5729AFC6" w14:textId="77777777" w:rsidTr="00696B1C">
        <w:tc>
          <w:tcPr>
            <w:tcW w:w="1800" w:type="dxa"/>
            <w:shd w:val="clear" w:color="auto" w:fill="auto"/>
            <w:tcMar>
              <w:top w:w="100" w:type="dxa"/>
              <w:left w:w="100" w:type="dxa"/>
              <w:bottom w:w="100" w:type="dxa"/>
              <w:right w:w="100" w:type="dxa"/>
            </w:tcMar>
          </w:tcPr>
          <w:p w14:paraId="7C2919B2" w14:textId="77777777" w:rsidR="00D34073" w:rsidRDefault="00D34073" w:rsidP="00696B1C">
            <w:pPr>
              <w:widowControl w:val="0"/>
            </w:pPr>
            <w:r>
              <w:t xml:space="preserve">Video Activity </w:t>
            </w:r>
          </w:p>
        </w:tc>
        <w:tc>
          <w:tcPr>
            <w:tcW w:w="7320" w:type="dxa"/>
            <w:shd w:val="clear" w:color="auto" w:fill="auto"/>
            <w:tcMar>
              <w:top w:w="100" w:type="dxa"/>
              <w:left w:w="100" w:type="dxa"/>
              <w:bottom w:w="100" w:type="dxa"/>
              <w:right w:w="100" w:type="dxa"/>
            </w:tcMar>
          </w:tcPr>
          <w:p w14:paraId="4FCBC3F7" w14:textId="77777777" w:rsidR="00D34073" w:rsidRDefault="00D34073" w:rsidP="00696B1C">
            <w:pPr>
              <w:widowControl w:val="0"/>
            </w:pPr>
            <w:r>
              <w:t xml:space="preserve">Rylee, Abby, and Marley all do a short dance of a different style and analyze and critique each other’s pieces to show how dances can make us feel different ways and that there is always something to take out of every dance and every experience.  </w:t>
            </w:r>
          </w:p>
        </w:tc>
      </w:tr>
      <w:tr w:rsidR="00D34073" w14:paraId="7F1B1741" w14:textId="77777777" w:rsidTr="00696B1C">
        <w:tc>
          <w:tcPr>
            <w:tcW w:w="1800" w:type="dxa"/>
            <w:shd w:val="clear" w:color="auto" w:fill="auto"/>
            <w:tcMar>
              <w:top w:w="100" w:type="dxa"/>
              <w:left w:w="100" w:type="dxa"/>
              <w:bottom w:w="100" w:type="dxa"/>
              <w:right w:w="100" w:type="dxa"/>
            </w:tcMar>
          </w:tcPr>
          <w:p w14:paraId="75491EFC" w14:textId="77777777" w:rsidR="00D34073" w:rsidRDefault="00D34073" w:rsidP="00696B1C">
            <w:pPr>
              <w:widowControl w:val="0"/>
            </w:pPr>
            <w:r>
              <w:t>Supplementary Activity Options</w:t>
            </w:r>
          </w:p>
        </w:tc>
        <w:tc>
          <w:tcPr>
            <w:tcW w:w="7320" w:type="dxa"/>
            <w:shd w:val="clear" w:color="auto" w:fill="auto"/>
            <w:tcMar>
              <w:top w:w="100" w:type="dxa"/>
              <w:left w:w="100" w:type="dxa"/>
              <w:bottom w:w="100" w:type="dxa"/>
              <w:right w:w="100" w:type="dxa"/>
            </w:tcMar>
          </w:tcPr>
          <w:p w14:paraId="1136A482" w14:textId="77777777" w:rsidR="00D34073" w:rsidRDefault="00D34073" w:rsidP="00696B1C">
            <w:pPr>
              <w:widowControl w:val="0"/>
              <w:rPr>
                <w:highlight w:val="white"/>
              </w:rPr>
            </w:pPr>
            <w:r>
              <w:rPr>
                <w:highlight w:val="white"/>
              </w:rPr>
              <w:t>Have students view the following dances and discuss what they may be about and how they make them feel.</w:t>
            </w:r>
          </w:p>
          <w:p w14:paraId="7851C58C" w14:textId="77777777" w:rsidR="00D34073" w:rsidRDefault="00D34073" w:rsidP="00696B1C">
            <w:pPr>
              <w:widowControl w:val="0"/>
              <w:rPr>
                <w:highlight w:val="white"/>
              </w:rPr>
            </w:pPr>
            <w:r>
              <w:rPr>
                <w:highlight w:val="white"/>
              </w:rPr>
              <w:t xml:space="preserve">If you are working with the zones of regulation you can connect this to the zones and have students explore why they fit into these zones. </w:t>
            </w:r>
          </w:p>
          <w:p w14:paraId="74148025" w14:textId="77777777" w:rsidR="00D34073" w:rsidRDefault="00DC13FB" w:rsidP="00696B1C">
            <w:pPr>
              <w:widowControl w:val="0"/>
              <w:rPr>
                <w:highlight w:val="white"/>
              </w:rPr>
            </w:pPr>
            <w:hyperlink r:id="rId5">
              <w:r w:rsidR="00D34073">
                <w:rPr>
                  <w:highlight w:val="white"/>
                  <w:u w:val="single"/>
                </w:rPr>
                <w:t>https://www.youtube.com/watch?v=wMLslPJgG-o</w:t>
              </w:r>
            </w:hyperlink>
          </w:p>
          <w:p w14:paraId="5185080C" w14:textId="77777777" w:rsidR="00D34073" w:rsidRDefault="00DC13FB" w:rsidP="00696B1C">
            <w:pPr>
              <w:widowControl w:val="0"/>
              <w:rPr>
                <w:highlight w:val="white"/>
              </w:rPr>
            </w:pPr>
            <w:hyperlink r:id="rId6">
              <w:r w:rsidR="00D34073">
                <w:rPr>
                  <w:highlight w:val="white"/>
                  <w:u w:val="single"/>
                </w:rPr>
                <w:t>https://www.youtube.com/watch?v=1QygHpDc4qM</w:t>
              </w:r>
            </w:hyperlink>
          </w:p>
          <w:p w14:paraId="779290E5" w14:textId="77777777" w:rsidR="00D34073" w:rsidRDefault="00DC13FB" w:rsidP="00696B1C">
            <w:pPr>
              <w:widowControl w:val="0"/>
              <w:rPr>
                <w:highlight w:val="white"/>
              </w:rPr>
            </w:pPr>
            <w:hyperlink r:id="rId7">
              <w:r w:rsidR="00D34073">
                <w:rPr>
                  <w:highlight w:val="white"/>
                  <w:u w:val="single"/>
                </w:rPr>
                <w:t>https://www.youtube.com/watch?v=PQJyxKiQ7g8</w:t>
              </w:r>
            </w:hyperlink>
            <w:r w:rsidR="00D34073">
              <w:rPr>
                <w:highlight w:val="white"/>
              </w:rPr>
              <w:t xml:space="preserve"> (if too long can stop at 1:45)</w:t>
            </w:r>
          </w:p>
          <w:p w14:paraId="4CCD878B" w14:textId="77777777" w:rsidR="00D34073" w:rsidRDefault="00D34073" w:rsidP="00D34073">
            <w:pPr>
              <w:widowControl w:val="0"/>
              <w:numPr>
                <w:ilvl w:val="0"/>
                <w:numId w:val="1"/>
              </w:numPr>
              <w:rPr>
                <w:highlight w:val="white"/>
              </w:rPr>
            </w:pPr>
            <w:r>
              <w:rPr>
                <w:highlight w:val="white"/>
              </w:rPr>
              <w:t>Provide reason and evidence behind if students personally enjoyed the dance or not</w:t>
            </w:r>
          </w:p>
          <w:p w14:paraId="03D5BE22" w14:textId="77777777" w:rsidR="00D34073" w:rsidRDefault="00D34073" w:rsidP="00D34073">
            <w:pPr>
              <w:widowControl w:val="0"/>
              <w:numPr>
                <w:ilvl w:val="0"/>
                <w:numId w:val="1"/>
              </w:numPr>
              <w:rPr>
                <w:highlight w:val="white"/>
              </w:rPr>
            </w:pPr>
            <w:r>
              <w:rPr>
                <w:highlight w:val="white"/>
              </w:rPr>
              <w:t xml:space="preserve">students respectfully consider and analyze their peers’ perspectives </w:t>
            </w:r>
          </w:p>
          <w:p w14:paraId="39EBE1A3" w14:textId="77777777" w:rsidR="00D34073" w:rsidRDefault="00D34073" w:rsidP="00D34073">
            <w:pPr>
              <w:widowControl w:val="0"/>
              <w:numPr>
                <w:ilvl w:val="0"/>
                <w:numId w:val="1"/>
              </w:numPr>
              <w:rPr>
                <w:highlight w:val="white"/>
              </w:rPr>
            </w:pPr>
            <w:r>
              <w:rPr>
                <w:highlight w:val="white"/>
              </w:rPr>
              <w:t>students reflect on their answer and may change their perspectives after hearing from their peers</w:t>
            </w:r>
          </w:p>
          <w:p w14:paraId="293C0867" w14:textId="77777777" w:rsidR="00D34073" w:rsidRDefault="00D34073" w:rsidP="00D34073">
            <w:pPr>
              <w:widowControl w:val="0"/>
              <w:numPr>
                <w:ilvl w:val="0"/>
                <w:numId w:val="1"/>
              </w:numPr>
              <w:rPr>
                <w:highlight w:val="white"/>
              </w:rPr>
            </w:pPr>
            <w:r>
              <w:rPr>
                <w:highlight w:val="white"/>
              </w:rPr>
              <w:t>students consider all views as being neither right nor wrong</w:t>
            </w:r>
          </w:p>
        </w:tc>
      </w:tr>
      <w:tr w:rsidR="00D34073" w14:paraId="1F40A6C7" w14:textId="77777777" w:rsidTr="00696B1C">
        <w:tc>
          <w:tcPr>
            <w:tcW w:w="1800" w:type="dxa"/>
            <w:shd w:val="clear" w:color="auto" w:fill="auto"/>
            <w:tcMar>
              <w:top w:w="100" w:type="dxa"/>
              <w:left w:w="100" w:type="dxa"/>
              <w:bottom w:w="100" w:type="dxa"/>
              <w:right w:w="100" w:type="dxa"/>
            </w:tcMar>
          </w:tcPr>
          <w:p w14:paraId="4D580F86" w14:textId="77777777" w:rsidR="00D34073" w:rsidRDefault="00D34073" w:rsidP="00696B1C">
            <w:pPr>
              <w:widowControl w:val="0"/>
            </w:pPr>
            <w:r>
              <w:t>Extension Information</w:t>
            </w:r>
          </w:p>
        </w:tc>
        <w:tc>
          <w:tcPr>
            <w:tcW w:w="7320" w:type="dxa"/>
            <w:shd w:val="clear" w:color="auto" w:fill="auto"/>
            <w:tcMar>
              <w:top w:w="100" w:type="dxa"/>
              <w:left w:w="100" w:type="dxa"/>
              <w:bottom w:w="100" w:type="dxa"/>
              <w:right w:w="100" w:type="dxa"/>
            </w:tcMar>
          </w:tcPr>
          <w:p w14:paraId="46586BB5" w14:textId="77777777" w:rsidR="00D34073" w:rsidRDefault="00D34073" w:rsidP="00696B1C">
            <w:pPr>
              <w:widowControl w:val="0"/>
            </w:pPr>
            <w:r>
              <w:t xml:space="preserve">Question and explore the dances: </w:t>
            </w:r>
          </w:p>
          <w:p w14:paraId="4928EB66" w14:textId="77777777" w:rsidR="00D34073" w:rsidRDefault="00D34073" w:rsidP="00D34073">
            <w:pPr>
              <w:widowControl w:val="0"/>
              <w:numPr>
                <w:ilvl w:val="0"/>
                <w:numId w:val="2"/>
              </w:numPr>
            </w:pPr>
            <w:r>
              <w:t>ask open-ended questions pertaining to one or more of the dances.</w:t>
            </w:r>
          </w:p>
          <w:p w14:paraId="1EB6E369" w14:textId="77777777" w:rsidR="00D34073" w:rsidRDefault="00D34073" w:rsidP="00D34073">
            <w:pPr>
              <w:widowControl w:val="0"/>
              <w:numPr>
                <w:ilvl w:val="0"/>
                <w:numId w:val="2"/>
              </w:numPr>
            </w:pPr>
            <w:r>
              <w:t>compare the difference between what the dance is about and students’ interpretations.</w:t>
            </w:r>
            <w:bookmarkStart w:id="0" w:name="_GoBack"/>
            <w:bookmarkEnd w:id="0"/>
          </w:p>
          <w:p w14:paraId="41DB906E" w14:textId="325FFEB7" w:rsidR="00DC13FB" w:rsidRDefault="00DC13FB" w:rsidP="00D34073">
            <w:pPr>
              <w:widowControl w:val="0"/>
              <w:numPr>
                <w:ilvl w:val="0"/>
                <w:numId w:val="2"/>
              </w:numPr>
            </w:pPr>
            <w:r>
              <w:t xml:space="preserve">Use the same strategies with other dances or works or art </w:t>
            </w:r>
          </w:p>
        </w:tc>
      </w:tr>
    </w:tbl>
    <w:p w14:paraId="4081D4D8" w14:textId="77777777" w:rsidR="00532AFE" w:rsidRDefault="00DC13FB"/>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A42FF"/>
    <w:multiLevelType w:val="multilevel"/>
    <w:tmpl w:val="03EE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5845AE"/>
    <w:multiLevelType w:val="multilevel"/>
    <w:tmpl w:val="D2546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73"/>
    <w:rsid w:val="00430601"/>
    <w:rsid w:val="004857A4"/>
    <w:rsid w:val="00D34073"/>
    <w:rsid w:val="00DC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85641"/>
  <w15:chartTrackingRefBased/>
  <w15:docId w15:val="{6A2BE56E-8FEA-B245-990C-43210E93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0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QJyxKiQ7g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QygHpDc4qM" TargetMode="External"/><Relationship Id="rId5" Type="http://schemas.openxmlformats.org/officeDocument/2006/relationships/hyperlink" Target="https://www.youtube.com/watch?v=wMLslPJgG-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1349</Characters>
  <Application>Microsoft Office Word</Application>
  <DocSecurity>0</DocSecurity>
  <Lines>29</Lines>
  <Paragraphs>8</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Microsoft Office User</cp:lastModifiedBy>
  <cp:revision>2</cp:revision>
  <dcterms:created xsi:type="dcterms:W3CDTF">2020-03-14T18:15:00Z</dcterms:created>
  <dcterms:modified xsi:type="dcterms:W3CDTF">2020-03-14T18:15:00Z</dcterms:modified>
</cp:coreProperties>
</file>