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B4F33" w14:textId="77777777" w:rsidR="00B958D6" w:rsidRDefault="00B958D6" w:rsidP="003144CE">
      <w:pPr>
        <w:spacing w:line="480" w:lineRule="auto"/>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958D6" w14:paraId="2229259D" w14:textId="77777777" w:rsidTr="00696B1C">
        <w:tc>
          <w:tcPr>
            <w:tcW w:w="9360" w:type="dxa"/>
            <w:tcBorders>
              <w:top w:val="single" w:sz="24" w:space="0" w:color="000000"/>
              <w:left w:val="single" w:sz="24" w:space="0" w:color="000000"/>
              <w:bottom w:val="single" w:sz="24" w:space="0" w:color="000000"/>
              <w:right w:val="single" w:sz="24" w:space="0" w:color="000000"/>
            </w:tcBorders>
            <w:shd w:val="clear" w:color="auto" w:fill="auto"/>
            <w:tcMar>
              <w:top w:w="100" w:type="dxa"/>
              <w:left w:w="100" w:type="dxa"/>
              <w:bottom w:w="100" w:type="dxa"/>
              <w:right w:w="100" w:type="dxa"/>
            </w:tcMar>
          </w:tcPr>
          <w:p w14:paraId="331617C5" w14:textId="5920EB4F" w:rsidR="00B958D6" w:rsidRDefault="00B958D6" w:rsidP="00BF42C6">
            <w:pPr>
              <w:widowControl w:val="0"/>
              <w:jc w:val="center"/>
            </w:pPr>
            <w:r>
              <w:rPr>
                <w:b/>
              </w:rPr>
              <w:t>Literacy lesson #5</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20"/>
            </w:tblGrid>
            <w:tr w:rsidR="00B958D6" w14:paraId="367EF54D" w14:textId="77777777" w:rsidTr="00696B1C">
              <w:tc>
                <w:tcPr>
                  <w:tcW w:w="1800" w:type="dxa"/>
                  <w:shd w:val="clear" w:color="auto" w:fill="auto"/>
                  <w:tcMar>
                    <w:top w:w="100" w:type="dxa"/>
                    <w:left w:w="100" w:type="dxa"/>
                    <w:bottom w:w="100" w:type="dxa"/>
                    <w:right w:w="100" w:type="dxa"/>
                  </w:tcMar>
                </w:tcPr>
                <w:p w14:paraId="719AAD97" w14:textId="77777777" w:rsidR="00B958D6" w:rsidRDefault="00B958D6" w:rsidP="00696B1C">
                  <w:pPr>
                    <w:widowControl w:val="0"/>
                  </w:pPr>
                  <w:r>
                    <w:t>Topic</w:t>
                  </w:r>
                </w:p>
              </w:tc>
              <w:tc>
                <w:tcPr>
                  <w:tcW w:w="7320" w:type="dxa"/>
                  <w:shd w:val="clear" w:color="auto" w:fill="auto"/>
                  <w:tcMar>
                    <w:top w:w="100" w:type="dxa"/>
                    <w:left w:w="100" w:type="dxa"/>
                    <w:bottom w:w="100" w:type="dxa"/>
                    <w:right w:w="100" w:type="dxa"/>
                  </w:tcMar>
                </w:tcPr>
                <w:p w14:paraId="56026F91" w14:textId="77777777" w:rsidR="00B958D6" w:rsidRDefault="00B958D6" w:rsidP="00696B1C">
                  <w:pPr>
                    <w:widowControl w:val="0"/>
                  </w:pPr>
                  <w:r>
                    <w:t xml:space="preserve">Character interactions </w:t>
                  </w:r>
                </w:p>
              </w:tc>
            </w:tr>
            <w:tr w:rsidR="00B958D6" w14:paraId="6C2C867C" w14:textId="77777777" w:rsidTr="00696B1C">
              <w:tc>
                <w:tcPr>
                  <w:tcW w:w="1800" w:type="dxa"/>
                  <w:shd w:val="clear" w:color="auto" w:fill="auto"/>
                  <w:tcMar>
                    <w:top w:w="100" w:type="dxa"/>
                    <w:left w:w="100" w:type="dxa"/>
                    <w:bottom w:w="100" w:type="dxa"/>
                    <w:right w:w="100" w:type="dxa"/>
                  </w:tcMar>
                </w:tcPr>
                <w:p w14:paraId="3F956CD4" w14:textId="77777777" w:rsidR="00B958D6" w:rsidRDefault="00B958D6" w:rsidP="00696B1C">
                  <w:pPr>
                    <w:widowControl w:val="0"/>
                  </w:pPr>
                  <w:r>
                    <w:t>Curricular Connection</w:t>
                  </w:r>
                </w:p>
              </w:tc>
              <w:tc>
                <w:tcPr>
                  <w:tcW w:w="7320" w:type="dxa"/>
                  <w:shd w:val="clear" w:color="auto" w:fill="auto"/>
                  <w:tcMar>
                    <w:top w:w="100" w:type="dxa"/>
                    <w:left w:w="100" w:type="dxa"/>
                    <w:bottom w:w="100" w:type="dxa"/>
                    <w:right w:w="100" w:type="dxa"/>
                  </w:tcMar>
                </w:tcPr>
                <w:p w14:paraId="627CE365" w14:textId="0B83D3B7" w:rsidR="00B958D6" w:rsidRDefault="00B958D6" w:rsidP="00696B1C">
                  <w:pPr>
                    <w:widowControl w:val="0"/>
                  </w:pPr>
                  <w:r>
                    <w:t xml:space="preserve">Understanding </w:t>
                  </w:r>
                  <w:r w:rsidR="00BF42C6">
                    <w:t>c</w:t>
                  </w:r>
                  <w:r>
                    <w:t>haracter differences and describing features</w:t>
                  </w:r>
                </w:p>
              </w:tc>
            </w:tr>
            <w:tr w:rsidR="00B958D6" w14:paraId="6C37F801" w14:textId="77777777" w:rsidTr="00696B1C">
              <w:tc>
                <w:tcPr>
                  <w:tcW w:w="1800" w:type="dxa"/>
                  <w:shd w:val="clear" w:color="auto" w:fill="auto"/>
                  <w:tcMar>
                    <w:top w:w="100" w:type="dxa"/>
                    <w:left w:w="100" w:type="dxa"/>
                    <w:bottom w:w="100" w:type="dxa"/>
                    <w:right w:w="100" w:type="dxa"/>
                  </w:tcMar>
                </w:tcPr>
                <w:p w14:paraId="090B1FFC" w14:textId="3A321E7F" w:rsidR="00B958D6" w:rsidRDefault="00B958D6" w:rsidP="00696B1C">
                  <w:pPr>
                    <w:widowControl w:val="0"/>
                  </w:pPr>
                  <w:r>
                    <w:t>Video Activity</w:t>
                  </w:r>
                </w:p>
              </w:tc>
              <w:tc>
                <w:tcPr>
                  <w:tcW w:w="7320" w:type="dxa"/>
                  <w:shd w:val="clear" w:color="auto" w:fill="auto"/>
                  <w:tcMar>
                    <w:top w:w="100" w:type="dxa"/>
                    <w:left w:w="100" w:type="dxa"/>
                    <w:bottom w:w="100" w:type="dxa"/>
                    <w:right w:w="100" w:type="dxa"/>
                  </w:tcMar>
                </w:tcPr>
                <w:p w14:paraId="0AD6C45E" w14:textId="5710F90A" w:rsidR="00B958D6" w:rsidRDefault="00B958D6" w:rsidP="00696B1C">
                  <w:pPr>
                    <w:widowControl w:val="0"/>
                  </w:pPr>
                  <w:r>
                    <w:t>Abby and Marley a</w:t>
                  </w:r>
                  <w:r w:rsidR="00BF42C6">
                    <w:t>re</w:t>
                  </w:r>
                  <w:r>
                    <w:t xml:space="preserve"> each given a character to dance as</w:t>
                  </w:r>
                  <w:r w:rsidR="00BF42C6">
                    <w:t>;</w:t>
                  </w:r>
                  <w:r>
                    <w:t xml:space="preserve"> through the implementation of “parting and meeting” (</w:t>
                  </w:r>
                  <w:r w:rsidR="00BF42C6">
                    <w:t>introduced</w:t>
                  </w:r>
                  <w:r>
                    <w:t xml:space="preserve"> </w:t>
                  </w:r>
                  <w:r w:rsidR="00BF42C6">
                    <w:t xml:space="preserve">in </w:t>
                  </w:r>
                  <w:r>
                    <w:t>the preliminary dance lessons) they will dance as they would as that character independently and then show how their body movements and feeling change when they meet. They do this twice, once as a cat and a mouse, and once as a little girl and her mom. How are these interactions different? How are they similar? What does this activity teach us about character interactions?</w:t>
                  </w:r>
                </w:p>
              </w:tc>
            </w:tr>
            <w:tr w:rsidR="00B958D6" w14:paraId="08D3E06F" w14:textId="77777777" w:rsidTr="00696B1C">
              <w:tc>
                <w:tcPr>
                  <w:tcW w:w="1800" w:type="dxa"/>
                  <w:shd w:val="clear" w:color="auto" w:fill="auto"/>
                  <w:tcMar>
                    <w:top w:w="100" w:type="dxa"/>
                    <w:left w:w="100" w:type="dxa"/>
                    <w:bottom w:w="100" w:type="dxa"/>
                    <w:right w:w="100" w:type="dxa"/>
                  </w:tcMar>
                </w:tcPr>
                <w:p w14:paraId="0330395D" w14:textId="77777777" w:rsidR="00B958D6" w:rsidRDefault="00B958D6" w:rsidP="00696B1C">
                  <w:pPr>
                    <w:widowControl w:val="0"/>
                  </w:pPr>
                  <w:r>
                    <w:t>Activity</w:t>
                  </w:r>
                </w:p>
              </w:tc>
              <w:tc>
                <w:tcPr>
                  <w:tcW w:w="7320" w:type="dxa"/>
                  <w:shd w:val="clear" w:color="auto" w:fill="auto"/>
                  <w:tcMar>
                    <w:top w:w="100" w:type="dxa"/>
                    <w:left w:w="100" w:type="dxa"/>
                    <w:bottom w:w="100" w:type="dxa"/>
                    <w:right w:w="100" w:type="dxa"/>
                  </w:tcMar>
                </w:tcPr>
                <w:p w14:paraId="6C155111" w14:textId="007305B0" w:rsidR="00B958D6" w:rsidRDefault="00B958D6" w:rsidP="00696B1C">
                  <w:pPr>
                    <w:widowControl w:val="0"/>
                  </w:pPr>
                  <w:r>
                    <w:rPr>
                      <w:highlight w:val="white"/>
                    </w:rPr>
                    <w:t xml:space="preserve">In pairs students will be randomly given or choose two characters that might interact together, for example, cat and mouse, deer and hunter, policeman and robber, old woman and grandchild etc. </w:t>
                  </w:r>
                  <w:r>
                    <w:rPr>
                      <w:highlight w:val="white"/>
                    </w:rPr>
                    <w:br/>
                    <w:t>Students will develop their characters and create dance phrases that would represent how they would interact</w:t>
                  </w:r>
                  <w:r w:rsidR="00BF42C6">
                    <w:rPr>
                      <w:highlight w:val="white"/>
                    </w:rPr>
                    <w:t xml:space="preserve"> together and apart</w:t>
                  </w:r>
                  <w:r>
                    <w:rPr>
                      <w:highlight w:val="white"/>
                    </w:rPr>
                    <w:t xml:space="preserve">. </w:t>
                  </w:r>
                </w:p>
              </w:tc>
            </w:tr>
            <w:tr w:rsidR="00B958D6" w14:paraId="168AF54D" w14:textId="77777777" w:rsidTr="00696B1C">
              <w:tc>
                <w:tcPr>
                  <w:tcW w:w="1800" w:type="dxa"/>
                  <w:shd w:val="clear" w:color="auto" w:fill="auto"/>
                  <w:tcMar>
                    <w:top w:w="100" w:type="dxa"/>
                    <w:left w:w="100" w:type="dxa"/>
                    <w:bottom w:w="100" w:type="dxa"/>
                    <w:right w:w="100" w:type="dxa"/>
                  </w:tcMar>
                </w:tcPr>
                <w:p w14:paraId="4355B20E" w14:textId="77777777" w:rsidR="00B958D6" w:rsidRDefault="00B958D6" w:rsidP="00696B1C">
                  <w:pPr>
                    <w:widowControl w:val="0"/>
                  </w:pPr>
                  <w:r>
                    <w:t xml:space="preserve">Supplementary and extension information </w:t>
                  </w:r>
                </w:p>
              </w:tc>
              <w:tc>
                <w:tcPr>
                  <w:tcW w:w="7320" w:type="dxa"/>
                  <w:shd w:val="clear" w:color="auto" w:fill="auto"/>
                  <w:tcMar>
                    <w:top w:w="100" w:type="dxa"/>
                    <w:left w:w="100" w:type="dxa"/>
                    <w:bottom w:w="100" w:type="dxa"/>
                    <w:right w:w="100" w:type="dxa"/>
                  </w:tcMar>
                </w:tcPr>
                <w:p w14:paraId="52F7DC84" w14:textId="5908E93E" w:rsidR="00BF42C6" w:rsidRDefault="00B958D6" w:rsidP="00BF42C6">
                  <w:pPr>
                    <w:pStyle w:val="ListParagraph"/>
                    <w:widowControl w:val="0"/>
                    <w:numPr>
                      <w:ilvl w:val="0"/>
                      <w:numId w:val="1"/>
                    </w:numPr>
                  </w:pPr>
                  <w:r>
                    <w:t xml:space="preserve">Students can choose music that will accompany their dance. </w:t>
                  </w:r>
                  <w:bookmarkStart w:id="0" w:name="_GoBack"/>
                  <w:bookmarkEnd w:id="0"/>
                </w:p>
                <w:p w14:paraId="46E95ABC" w14:textId="64029AC1" w:rsidR="00BF42C6" w:rsidRDefault="00B958D6" w:rsidP="00BF42C6">
                  <w:pPr>
                    <w:pStyle w:val="ListParagraph"/>
                    <w:widowControl w:val="0"/>
                    <w:numPr>
                      <w:ilvl w:val="0"/>
                      <w:numId w:val="1"/>
                    </w:numPr>
                  </w:pPr>
                  <w:r>
                    <w:t xml:space="preserve">Students should be able to switch their characters between them instantly at the sound of a bell.  </w:t>
                  </w:r>
                </w:p>
                <w:p w14:paraId="6959AE3E" w14:textId="5D9F19A3" w:rsidR="00BF42C6" w:rsidRDefault="00BF42C6" w:rsidP="00BF42C6">
                  <w:pPr>
                    <w:pStyle w:val="ListParagraph"/>
                    <w:widowControl w:val="0"/>
                    <w:numPr>
                      <w:ilvl w:val="0"/>
                      <w:numId w:val="1"/>
                    </w:numPr>
                  </w:pPr>
                  <w:r>
                    <w:t>T</w:t>
                  </w:r>
                  <w:r w:rsidR="00B958D6">
                    <w:t xml:space="preserve">his strategy </w:t>
                  </w:r>
                  <w:r>
                    <w:t xml:space="preserve">can expand beyond characters. Use it </w:t>
                  </w:r>
                  <w:r w:rsidR="00B958D6">
                    <w:t>with any two topics you would use a Venn diagram for</w:t>
                  </w:r>
                  <w:r>
                    <w:t xml:space="preserve">, (literacy: the difference in sounds “e and a” vs. “ea.”, environmental: pop can vs fish in the ocean. </w:t>
                  </w:r>
                </w:p>
                <w:p w14:paraId="499C919C" w14:textId="7D48B521" w:rsidR="00B958D6" w:rsidRDefault="00B958D6" w:rsidP="00BF42C6">
                  <w:pPr>
                    <w:pStyle w:val="ListParagraph"/>
                    <w:widowControl w:val="0"/>
                    <w:numPr>
                      <w:ilvl w:val="0"/>
                      <w:numId w:val="1"/>
                    </w:numPr>
                  </w:pPr>
                  <w:r>
                    <w:t xml:space="preserve">Try this activity before completing a Venn diagram similarities and differences chart and then try it again after. How do the interactions change?  </w:t>
                  </w:r>
                </w:p>
              </w:tc>
            </w:tr>
          </w:tbl>
          <w:p w14:paraId="6BF14677" w14:textId="77777777" w:rsidR="00B958D6" w:rsidRDefault="00B958D6" w:rsidP="00696B1C">
            <w:pPr>
              <w:widowControl w:val="0"/>
            </w:pPr>
          </w:p>
        </w:tc>
      </w:tr>
    </w:tbl>
    <w:p w14:paraId="62CEF4CE" w14:textId="1F94BE8C" w:rsidR="00532AFE" w:rsidRDefault="00B958D6">
      <w:r>
        <w:br/>
      </w:r>
      <w:r>
        <w:br/>
      </w:r>
    </w:p>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A61E66"/>
    <w:multiLevelType w:val="hybridMultilevel"/>
    <w:tmpl w:val="26CE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8D6"/>
    <w:rsid w:val="003144CE"/>
    <w:rsid w:val="00430601"/>
    <w:rsid w:val="004857A4"/>
    <w:rsid w:val="009D3799"/>
    <w:rsid w:val="00B958D6"/>
    <w:rsid w:val="00BF4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9AA0BF"/>
  <w15:chartTrackingRefBased/>
  <w15:docId w15:val="{EBA61ED1-D2A0-5248-91F5-F3A10D38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58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1314</Characters>
  <Application>Microsoft Office Word</Application>
  <DocSecurity>0</DocSecurity>
  <Lines>29</Lines>
  <Paragraphs>8</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2020-03-14T19:56:00Z</dcterms:created>
  <dcterms:modified xsi:type="dcterms:W3CDTF">2020-03-14T19:56:00Z</dcterms:modified>
</cp:coreProperties>
</file>